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530" w:color="auto" w:val="clear"/>
            <w:tcMar>
              <w:top w:type="dxa" w:w="320"/>
              <w:left w:type="dxa" w:w="320"/>
              <w:bottom w:type="dxa" w:w="300"/>
              <w:right w:type="dxa" w:w="320"/>
            </w:tcMar>
          </w:tcPr>
          <w:p>
            <w:pPr>
              <w:spacing w:after="100" w:before="0"/>
            </w:pPr>
            <w:r>
              <w:rPr>
                <w:rFonts w:ascii="Consolas" w:cs="Consolas" w:eastAsia="Consolas" w:hAnsi="Consolas"/>
                <w:b/>
                <w:bCs/>
                <w:color w:val="C9A227"/>
                <w:spacing w:val="18"/>
                <w:sz w:val="15"/>
                <w:szCs w:val="15"/>
              </w:rPr>
              <w:t xml:space="preserve">CASE FILE · MASTER TEMPLATE</w:t>
            </w:r>
          </w:p>
          <w:p>
            <w:pPr>
              <w:spacing w:after="9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The Master Case File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C8CED6"/>
                <w:sz w:val="20"/>
                <w:szCs w:val="20"/>
              </w:rPr>
              <w:t xml:space="preserve">The CLUE method in paperwork form. Each section carries the letter it serves.</w:t>
            </w:r>
          </w:p>
        </w:tc>
      </w:tr>
    </w:tbl>
    <w:p>
      <w:pPr>
        <w:spacing w:after="200" w:befor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B6673"/>
          <w:sz w:val="20"/>
          <w:szCs w:val="20"/>
        </w:rPr>
        <w:t xml:space="preserve">Fill in what you know. The blanks tell you what to investigate next, and the notes on the left stay put so you can hand this to someone else half-finished.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9A227" w:sz="18"/>
              <w:bottom w:val="none" w:color="FFFFFF" w:sz="0"/>
              <w:right w:val="none" w:color="FFFFFF" w:sz="0"/>
            </w:tcBorders>
            <w:shd w:fill="FAF3E1" w:color="auto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spacing w:after="8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6"/>
                <w:szCs w:val="16"/>
              </w:rPr>
              <w:t xml:space="preserve">YOU WON'T NEED ALL OF IT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C2530"/>
                <w:sz w:val="20"/>
                <w:szCs w:val="20"/>
              </w:rPr>
              <w:t xml:space="preserve">Not every case faces a steering committee. This is the full kit: keep the sections your case needs and delete the rest. Each section says on the right when you need it.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1C2530"/>
                <w:sz w:val="20"/>
                <w:szCs w:val="20"/>
              </w:rPr>
              <w:t xml:space="preserve">Every case: </w:t>
            </w:r>
            <w:r>
              <w:rPr>
                <w:rFonts w:ascii="Calibri" w:cs="Calibri" w:eastAsia="Calibri" w:hAnsi="Calibri"/>
                <w:b w:val="false"/>
                <w:bCs w:val="false"/>
                <w:color w:val="1C2530"/>
                <w:sz w:val="20"/>
                <w:szCs w:val="20"/>
              </w:rPr>
              <w:t xml:space="preserve">The Case, §1 The Motive, §7 Close the Case.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1C2530"/>
                <w:sz w:val="20"/>
                <w:szCs w:val="20"/>
              </w:rPr>
              <w:t xml:space="preserve">When you build something: </w:t>
            </w:r>
            <w:r>
              <w:rPr>
                <w:rFonts w:ascii="Calibri" w:cs="Calibri" w:eastAsia="Calibri" w:hAnsi="Calibri"/>
                <w:b w:val="false"/>
                <w:bCs w:val="false"/>
                <w:color w:val="1C2530"/>
                <w:sz w:val="20"/>
                <w:szCs w:val="20"/>
              </w:rPr>
              <w:t xml:space="preserve">add §2 The Targets and §3 The Blueprint.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1C2530"/>
                <w:sz w:val="20"/>
                <w:szCs w:val="20"/>
              </w:rPr>
              <w:t xml:space="preserve">Big cases, with real budget, a pilot gate or several teams: </w:t>
            </w:r>
            <w:r>
              <w:rPr>
                <w:rFonts w:ascii="Calibri" w:cs="Calibri" w:eastAsia="Calibri" w:hAnsi="Calibri"/>
                <w:b w:val="false"/>
                <w:bCs w:val="false"/>
                <w:color w:val="1C2530"/>
                <w:sz w:val="20"/>
                <w:szCs w:val="20"/>
              </w:rPr>
              <w:t xml:space="preserve">add §4, §5 and §6.</w:t>
            </w:r>
          </w:p>
          <w:p>
            <w:pPr>
              <w:spacing w:after="0" w:before="80"/>
            </w:pPr>
            <w:r>
              <w:rPr>
                <w:rFonts w:ascii="Calibri" w:cs="Calibri" w:eastAsia="Calibri" w:hAnsi="Calibri"/>
                <w:b w:val="false"/>
                <w:bCs w:val="false"/>
                <w:color w:val="5B6673"/>
                <w:sz w:val="19"/>
                <w:szCs w:val="19"/>
              </w:rPr>
              <w:t xml:space="preserve">Ran the intake on the site? Your notes fill most of §1.</w:t>
            </w:r>
          </w:p>
        </w:tc>
      </w:tr>
    </w:tbl>
    <w:p>
      <w:pPr>
        <w:spacing w:after="0" w:before="0"/>
      </w:pPr>
    </w:p>
    <w:p>
      <w:pPr>
        <w:spacing w:after="100" w:before="120"/>
      </w:pPr>
      <w:r>
        <w:rPr>
          <w:rFonts w:ascii="Consolas" w:cs="Consolas" w:eastAsia="Consolas" w:hAnsi="Consolas"/>
          <w:b/>
          <w:bCs/>
          <w:color w:val="7A5A08"/>
          <w:spacing w:val="18"/>
          <w:sz w:val="17"/>
          <w:szCs w:val="17"/>
        </w:rPr>
        <w:t xml:space="preserve">THE CASE</w:t>
      </w:r>
    </w:p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1754"/>
        <w:gridCol w:w="3119"/>
        <w:gridCol w:w="1754"/>
        <w:gridCol w:w="3119"/>
      </w:tblGrid>
      <w:tr>
        <w:trPr>
          <w:trHeight w:val="520" w:hRule="atLeast"/>
        </w:trPr>
        <w:tc>
          <w:tcPr>
            <w:tcW w:type="dxa" w:w="1754"/>
            <w:tcMar>
              <w:top w:type="dxa" w:w="110"/>
              <w:left w:type="dxa" w:w="0"/>
              <w:bottom w:type="dxa" w:w="11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CASE NAME</w:t>
            </w:r>
          </w:p>
        </w:tc>
        <w:tc>
          <w:tcPr>
            <w:tcW w:type="dxa" w:w="3119"/>
            <w:tcMar>
              <w:top w:type="dxa" w:w="110"/>
              <w:left w:type="dxa" w:w="120"/>
              <w:bottom w:type="dxa" w:w="11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754"/>
            <w:tcMar>
              <w:top w:type="dxa" w:w="110"/>
              <w:left w:type="dxa" w:w="0"/>
              <w:bottom w:type="dxa" w:w="11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SPONSOR</w:t>
            </w:r>
          </w:p>
        </w:tc>
        <w:tc>
          <w:tcPr>
            <w:tcW w:type="dxa" w:w="3119"/>
            <w:tcMar>
              <w:top w:type="dxa" w:w="110"/>
              <w:left w:type="dxa" w:w="120"/>
              <w:bottom w:type="dxa" w:w="11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754"/>
            <w:tcMar>
              <w:top w:type="dxa" w:w="110"/>
              <w:left w:type="dxa" w:w="0"/>
              <w:bottom w:type="dxa" w:w="11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CASE OWNER</w:t>
            </w:r>
          </w:p>
        </w:tc>
        <w:tc>
          <w:tcPr>
            <w:tcW w:type="dxa" w:w="3119"/>
            <w:tcMar>
              <w:top w:type="dxa" w:w="110"/>
              <w:left w:type="dxa" w:w="120"/>
              <w:bottom w:type="dxa" w:w="11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754"/>
            <w:tcMar>
              <w:top w:type="dxa" w:w="110"/>
              <w:left w:type="dxa" w:w="0"/>
              <w:bottom w:type="dxa" w:w="11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KPI OWNER</w:t>
            </w:r>
          </w:p>
        </w:tc>
        <w:tc>
          <w:tcPr>
            <w:tcW w:type="dxa" w:w="3119"/>
            <w:tcMar>
              <w:top w:type="dxa" w:w="110"/>
              <w:left w:type="dxa" w:w="120"/>
              <w:bottom w:type="dxa" w:w="11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754"/>
            <w:tcMar>
              <w:top w:type="dxa" w:w="110"/>
              <w:left w:type="dxa" w:w="0"/>
              <w:bottom w:type="dxa" w:w="11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DATE OPENED</w:t>
            </w:r>
          </w:p>
        </w:tc>
        <w:tc>
          <w:tcPr>
            <w:tcW w:type="dxa" w:w="3119"/>
            <w:tcMar>
              <w:top w:type="dxa" w:w="110"/>
              <w:left w:type="dxa" w:w="120"/>
              <w:bottom w:type="dxa" w:w="11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754"/>
            <w:tcMar>
              <w:top w:type="dxa" w:w="110"/>
              <w:left w:type="dxa" w:w="0"/>
              <w:bottom w:type="dxa" w:w="11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STATUS</w:t>
            </w:r>
          </w:p>
        </w:tc>
        <w:tc>
          <w:tcPr>
            <w:tcW w:type="dxa" w:w="3119"/>
            <w:tcMar>
              <w:top w:type="dxa" w:w="110"/>
              <w:left w:type="dxa" w:w="120"/>
              <w:bottom w:type="dxa" w:w="11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THE REQUEST, AS IT ARRIVED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Their words, not yours. One line.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SIZE OF INVESTIGATION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Quick read, about 20 minutes · full investigation, one to two weeks.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DECISION GATE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 date you and the sponsor look at the number together.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§1 · THE MOTIVE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Business case &amp; problem definition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C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EVERY CASE</w:t>
            </w:r>
          </w:p>
        </w:tc>
      </w:tr>
    </w:tbl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BUSINESS STRATEGY LINK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Which company priority does this serve?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CURRENT PERFORMANCE GAP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 impacted KPI: where it is now, where it needs to be.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ROOT CAUSE HYPOTHESIS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Skill · knowledge · process · tools · incentives · expectations. Usually two or three at once.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EVIDENCE FOR IT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Two independent sources that point at the same cause. Name them.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ROI HYPOTHESIS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If we [intervention] for [audience], then [metric] will move from [baseline] to [target] within [time], measured by [source].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COST OF INACTION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What it costs to do nothing: money, time, risk, customers.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WHAT TRAINING WILL NOT FIX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 part of the cause a course cannot close, and the person who owns that part.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§2 · THE TARGETS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Audience &amp; success criteria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C, L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WHEN YOU BUILD</w:t>
            </w:r>
          </w:p>
        </w:tc>
      </w:tr>
    </w:tbl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TARGET PERSONA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Role · seniority · business unit · readiness level.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JOBS TO BE DONE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When [situation], employees need to [action] so that [outcome] improves.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VALUE FOR THE EMPLOYEE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What's in it for them?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VALUE FOR THE BUSINESS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What's in it for the stakeholder?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PRIMARY BUSINESS KPI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Baseline → target → timeframe.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BASELINE CAPTURED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 date, and where the number came from. No baseline, no launch.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BEHAVIORAL LEADING INDICATORS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What you can count next month, not next year.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SUCCESS THRESHOLD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What validates · what triggers a redesign · what stops the work.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§3 · THE BLUEPRINT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Solution architecture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E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WHEN YOU BUILD</w:t>
            </w:r>
          </w:p>
        </w:tc>
      </w:tr>
    </w:tbl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CORE COMPONENTS AND FORMAT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Sync / async / embedded in the workflow.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NAMED REINFORCER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A person, not a team. No named reinforcer, no case.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REINFORCEMENT AND PRACTICE LOOP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What they do, and how often.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MEASUREMENT LAYER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Where the number comes from, and who owns it.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SCALABILITY AND SUNSET PLAN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How it spreads, and when it retires.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§4 · THE INVESTIGATION PLAN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Roadmap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U, E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BIG CASES</w:t>
            </w:r>
          </w:p>
        </w:tc>
      </w:tr>
    </w:tbl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PHASE 1 · DISCOVERY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Interviews, shadowing, baseline, risk mapping. → Business case approved.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PHASE 2 · SOLUTION DESIGN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Architecture, content, KPI tracking setup. → MVP ready.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PHASE 3 · PILOT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Limited rollout, behavioral measurement. → Impact report.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GATE VERDICT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Date, and the call: scale / adjust / stop. Agreed before the pilot, recorded after.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PHASE 4 · ROLLOUT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Broader launch, manager alignment, ongoing tracking.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PHASE 5 · OPTIMIZATION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Performance review, refinement, automation.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§5 · THE CHAIN OF COMMAND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RACI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E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BIG CASES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5B6673"/>
          <w:sz w:val="19"/>
          <w:szCs w:val="19"/>
        </w:rPr>
        <w:t xml:space="preserve">R responsible · A accountable · C consulted · I informed. One A per row, and never a team name where a person belongs.</w:t>
      </w:r>
    </w:p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2900"/>
        <w:gridCol w:w="978"/>
        <w:gridCol w:w="978"/>
        <w:gridCol w:w="978"/>
        <w:gridCol w:w="978"/>
        <w:gridCol w:w="978"/>
        <w:gridCol w:w="978"/>
        <w:gridCol w:w="978"/>
      </w:tblGrid>
      <w:tr>
        <w:trPr>
          <w:tblHeader/>
          <w:trHeight w:val="520" w:hRule="atLeast"/>
        </w:trPr>
        <w:tc>
          <w:tcPr>
            <w:tcW w:type="dxa" w:w="2900"/>
            <w:shd w:fill="EFEAE0" w:color="auto" w:val="clear"/>
            <w:tcMar>
              <w:top w:type="dxa" w:w="120"/>
              <w:left w:type="dxa" w:w="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DELIVERABLE / DECISION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SPONSOR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L&amp;D PO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HRBP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BU LEAD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IT / DATA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FINANCE</w:t>
            </w:r>
          </w:p>
        </w:tc>
        <w:tc>
          <w:tcPr>
            <w:tcW w:type="dxa" w:w="978"/>
            <w:shd w:fill="EFEAE0" w:color="auto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0"/>
                <w:sz w:val="14"/>
                <w:szCs w:val="14"/>
              </w:rPr>
              <w:t xml:space="preserve">OTHER</w:t>
            </w:r>
          </w:p>
        </w:tc>
      </w:tr>
      <w:tr>
        <w:trPr>
          <w:trHeight w:val="560" w:hRule="atLeast"/>
        </w:trPr>
        <w:tc>
          <w:tcPr>
            <w:tcW w:type="dxa" w:w="2900"/>
            <w:tcMar>
              <w:top w:type="dxa" w:w="120"/>
              <w:left w:type="dxa" w:w="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0"/>
                <w:szCs w:val="20"/>
              </w:rPr>
              <w:t xml:space="preserve">Business case approval</w:t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Mar>
              <w:top w:type="dxa" w:w="120"/>
              <w:left w:type="dxa" w:w="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0"/>
                <w:szCs w:val="20"/>
              </w:rPr>
              <w:t xml:space="preserve">KPI definition</w:t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Mar>
              <w:top w:type="dxa" w:w="120"/>
              <w:left w:type="dxa" w:w="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0"/>
                <w:szCs w:val="20"/>
              </w:rPr>
              <w:t xml:space="preserve">Pilot launch</w:t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Mar>
              <w:top w:type="dxa" w:w="120"/>
              <w:left w:type="dxa" w:w="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0"/>
                <w:szCs w:val="20"/>
              </w:rPr>
              <w:t xml:space="preserve">Scale decision</w:t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tcMar>
              <w:top w:type="dxa" w:w="120"/>
              <w:left w:type="dxa" w:w="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0"/>
                <w:szCs w:val="20"/>
              </w:rPr>
              <w:t xml:space="preserve">Sunset decision</w:t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8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§6 · RISK &amp; RESOURCES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Budget &amp; reporting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E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BIG CASES</w:t>
            </w:r>
          </w:p>
        </w:tc>
      </w:tr>
    </w:tbl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INVESTMENT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External vendors, internal hours, platform costs.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RETURN AND SAVINGS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Revenue impact, efficiency gains, risk reduction.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ESTIMATED PAYBACK PERIOD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How long before the return covers the investment.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REPORTING CADENCE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KPI movement and behavioral adoption. Never seat time alone.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p>
      <w:pPr>
        <w:spacing w:after="100" w:before="360"/>
      </w:pPr>
      <w:r>
        <w:rPr>
          <w:rFonts w:ascii="Consolas" w:cs="Consolas" w:eastAsia="Consolas" w:hAnsi="Consolas"/>
          <w:b/>
          <w:bCs/>
          <w:color w:val="7A5A08"/>
          <w:spacing w:val="18"/>
          <w:sz w:val="17"/>
          <w:szCs w:val="17"/>
        </w:rPr>
        <w:t xml:space="preserve">RISK ASSESSMENT</w:t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5B6673"/>
          <w:sz w:val="19"/>
          <w:szCs w:val="19"/>
        </w:rPr>
        <w:t xml:space="preserve">Probability and impact: high, medium or low. Every risk gets an owner, or it is not managed.</w:t>
      </w:r>
    </w:p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2924"/>
        <w:gridCol w:w="1267"/>
        <w:gridCol w:w="975"/>
        <w:gridCol w:w="3119"/>
        <w:gridCol w:w="1462"/>
      </w:tblGrid>
      <w:tr>
        <w:trPr>
          <w:tblHeader/>
          <w:trHeight w:val="500" w:hRule="atLeast"/>
        </w:trPr>
        <w:tc>
          <w:tcPr>
            <w:tcW w:type="dxa" w:w="2924"/>
            <w:shd w:fill="EFEAE0" w:color="auto" w:val="clear"/>
            <w:tcMar>
              <w:top w:type="dxa" w:w="120"/>
              <w:left w:type="dxa" w:w="0"/>
              <w:bottom w:type="dxa" w:w="12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2"/>
                <w:sz w:val="15"/>
                <w:szCs w:val="15"/>
              </w:rPr>
              <w:t xml:space="preserve">RISK</w:t>
            </w:r>
          </w:p>
        </w:tc>
        <w:tc>
          <w:tcPr>
            <w:tcW w:type="dxa" w:w="1267"/>
            <w:shd w:fill="EFEAE0" w:color="auto" w:val="clear"/>
            <w:tcMar>
              <w:top w:type="dxa" w:w="120"/>
              <w:left w:type="dxa" w:w="80"/>
              <w:bottom w:type="dxa" w:w="12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2"/>
                <w:sz w:val="15"/>
                <w:szCs w:val="15"/>
              </w:rPr>
              <w:t xml:space="preserve">PROBABILITY</w:t>
            </w:r>
          </w:p>
        </w:tc>
        <w:tc>
          <w:tcPr>
            <w:tcW w:type="dxa" w:w="975"/>
            <w:shd w:fill="EFEAE0" w:color="auto" w:val="clear"/>
            <w:tcMar>
              <w:top w:type="dxa" w:w="120"/>
              <w:left w:type="dxa" w:w="80"/>
              <w:bottom w:type="dxa" w:w="12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2"/>
                <w:sz w:val="15"/>
                <w:szCs w:val="15"/>
              </w:rPr>
              <w:t xml:space="preserve">IMPACT</w:t>
            </w:r>
          </w:p>
        </w:tc>
        <w:tc>
          <w:tcPr>
            <w:tcW w:type="dxa" w:w="3119"/>
            <w:shd w:fill="EFEAE0" w:color="auto" w:val="clear"/>
            <w:tcMar>
              <w:top w:type="dxa" w:w="120"/>
              <w:left w:type="dxa" w:w="80"/>
              <w:bottom w:type="dxa" w:w="12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2"/>
                <w:sz w:val="15"/>
                <w:szCs w:val="15"/>
              </w:rPr>
              <w:t xml:space="preserve">MITIGATION</w:t>
            </w:r>
          </w:p>
        </w:tc>
        <w:tc>
          <w:tcPr>
            <w:tcW w:type="dxa" w:w="1462"/>
            <w:shd w:fill="EFEAE0" w:color="auto" w:val="clear"/>
            <w:tcMar>
              <w:top w:type="dxa" w:w="120"/>
              <w:left w:type="dxa" w:w="80"/>
              <w:bottom w:type="dxa" w:w="12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2"/>
                <w:sz w:val="15"/>
                <w:szCs w:val="15"/>
              </w:rPr>
              <w:t xml:space="preserve">OWNER</w:t>
            </w:r>
          </w:p>
        </w:tc>
      </w:tr>
      <w:tr>
        <w:trPr>
          <w:trHeight w:val="620" w:hRule="atLeast"/>
        </w:trPr>
        <w:tc>
          <w:tcPr>
            <w:tcW w:type="dxa" w:w="2924"/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267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5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3119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462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924"/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267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5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3119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462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924"/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267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5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3119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462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924"/>
            <w:tcMar>
              <w:top w:type="dxa" w:w="120"/>
              <w:left w:type="dxa" w:w="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267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975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3119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  <w:tc>
          <w:tcPr>
            <w:tcW w:type="dxa" w:w="1462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602"/>
        <w:gridCol w:w="2144"/>
      </w:tblGrid>
      <w:tr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200"/>
              <w:bottom w:type="dxa" w:w="1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§7 · CLOSE THE CASE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B6673"/>
                <w:sz w:val="19"/>
                <w:szCs w:val="19"/>
              </w:rPr>
              <w:t xml:space="preserve">The one-pager you send the sponsor</w:t>
            </w:r>
          </w:p>
        </w:tc>
        <w:tc>
          <w:tcPr>
            <w:tcW w:type="dxa" w:w="2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AE0" w:color="auto" w:val="clear"/>
            <w:tcMar>
              <w:top w:type="dxa" w:w="150"/>
              <w:left w:type="dxa" w:w="100"/>
              <w:bottom w:type="dxa" w:w="140"/>
              <w:right w:type="dxa" w:w="2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7A5A08"/>
                <w:spacing w:val="18"/>
                <w:sz w:val="17"/>
                <w:szCs w:val="17"/>
              </w:rPr>
              <w:t xml:space="preserve">CLUE  E</w:t>
            </w:r>
          </w:p>
          <w:p>
            <w:pPr>
              <w:spacing w:after="0" w:before="4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5B6673"/>
                <w:spacing w:val="18"/>
                <w:sz w:val="14"/>
                <w:szCs w:val="14"/>
              </w:rPr>
              <w:t xml:space="preserve">EVERY CASE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5B6673"/>
          <w:sz w:val="19"/>
          <w:szCs w:val="19"/>
        </w:rPr>
        <w:t xml:space="preserve">Ten minutes of work, after the solution ships. Four lines, and it is the difference between being the training team and being the people who fixed the problem.</w:t>
      </w:r>
    </w:p>
    <w:tbl>
      <w:tblPr>
        <w:tblW w:type="dxa" w:w="9746"/>
        <w:tblBorders>
          <w:top w:val="single" w:color="C8CED6" w:sz="4"/>
          <w:left w:val="none" w:color="FFFFFF" w:sz="0"/>
          <w:bottom w:val="single" w:color="C8CED6" w:sz="4"/>
          <w:right w:val="none" w:color="FFFFFF" w:sz="0"/>
          <w:insideH w:val="single" w:color="C8CED6" w:sz="4"/>
          <w:insideV w:val="single" w:color="EFEAE0" w:sz="4"/>
        </w:tblBorders>
      </w:tblPr>
      <w:tblGrid>
        <w:gridCol w:w="3400"/>
        <w:gridCol w:w="6346"/>
      </w:tblGrid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WHAT WE FOUND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 cause, in one sentence.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WHAT WE DID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Every fix, not only the training one.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WHAT MOVED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The number, against the baseline, on the date you agreed.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400"/>
            <w:tcMar>
              <w:top w:type="dxa" w:w="130"/>
              <w:left w:type="dxa" w:w="0"/>
              <w:bottom w:type="dxa" w:w="130"/>
              <w:right w:type="dxa" w:w="180"/>
            </w:tcMar>
          </w:tcPr>
          <w:p>
            <w:pPr>
              <w:spacing w:after="50" w:before="0"/>
            </w:pPr>
            <w:r>
              <w:rPr>
                <w:rFonts w:ascii="Consolas" w:cs="Consolas" w:eastAsia="Consolas" w:hAnsi="Consolas"/>
                <w:b/>
                <w:bCs/>
                <w:color w:val="1C2530"/>
                <w:spacing w:val="18"/>
                <w:sz w:val="16"/>
                <w:szCs w:val="16"/>
              </w:rPr>
              <w:t xml:space="preserve">WHAT WE RECOMMEND NEXT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B6673"/>
                <w:sz w:val="18"/>
                <w:szCs w:val="18"/>
              </w:rPr>
              <w:t xml:space="preserve">Scale, adjust, stop, or hand over.</w:t>
            </w:r>
          </w:p>
        </w:tc>
        <w:tc>
          <w:tcPr>
            <w:tcW w:type="dxa" w:w="6346"/>
            <w:tcMar>
              <w:top w:type="dxa" w:w="130"/>
              <w:left w:type="dxa" w:w="180"/>
              <w:bottom w:type="dxa" w:w="1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C2530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C8CED6" w:sz="6"/>
        </w:pBdr>
        <w:spacing w:after="0" w:before="200"/>
      </w:pPr>
    </w:p>
    <w:p>
      <w:pPr>
        <w:spacing w:after="0" w:before="200"/>
      </w:pPr>
      <w:r>
        <w:rPr>
          <w:rFonts w:ascii="Consolas" w:cs="Consolas" w:eastAsia="Consolas" w:hAnsi="Consolas"/>
          <w:b/>
          <w:bCs/>
          <w:color w:val="9AA3AC"/>
          <w:spacing w:val="18"/>
          <w:sz w:val="15"/>
          <w:szCs w:val="15"/>
        </w:rPr>
        <w:t xml:space="preserve">THE L&amp;D DETECTIVE FIELD GUIDE · HANNA PETRASIAN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ED6" w:sz="6"/>
      </w:pBdr>
      <w:tabs>
        <w:tab w:val="right" w:pos="9746"/>
      </w:tabs>
      <w:spacing w:before="120"/>
    </w:pPr>
    <w:r>
      <w:rPr>
        <w:rFonts w:ascii="Consolas" w:cs="Consolas" w:eastAsia="Consolas" w:hAnsi="Consolas"/>
        <w:b/>
        <w:bCs/>
        <w:color w:val="5B6673"/>
        <w:spacing w:val="18"/>
        <w:sz w:val="14"/>
        <w:szCs w:val="14"/>
      </w:rPr>
      <w:t xml:space="preserve">THE L&amp;D DETECTIVE FIELD GUIDE · MASTER CASE FILE TEMPLATE</w:t>
    </w:r>
    <w:r>
      <w:rPr>
        <w:rFonts w:ascii="Consolas" w:cs="Consolas" w:eastAsia="Consolas" w:hAnsi="Consolas"/>
      </w:rPr>
      <w:t xml:space="preserve">	</w:t>
    </w:r>
    <w:r>
      <w:rPr>
        <w:rFonts w:ascii="Consolas" w:cs="Consolas" w:eastAsia="Consolas" w:hAnsi="Consolas"/>
        <w:b/>
        <w:bCs/>
        <w:color w:val="5B6673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53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Master Case File — blank template</dc:title>
  <dc:creator>Hanna Petrasian</dc:creator>
  <dc:description>A one-file record of a performance investigation: the motive, the targets, the blueprint, the plan, the owners, the risks, and the verdict.</dc:description>
  <cp:lastModifiedBy>Un-named</cp:lastModifiedBy>
  <cp:revision>1</cp:revision>
  <dcterms:created xsi:type="dcterms:W3CDTF">2026-09-10T15:08:44.037Z</dcterms:created>
  <dcterms:modified xsi:type="dcterms:W3CDTF">2026-09-10T15:08:44.038Z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